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DB" w:rsidRDefault="00303231">
      <w:pPr>
        <w:spacing w:after="0" w:line="240" w:lineRule="auto"/>
        <w:jc w:val="center"/>
        <w:outlineLvl w:val="0"/>
        <w:rPr>
          <w:rFonts w:ascii="Times New Roman" w:hAnsi="Times New Roman"/>
          <w:b/>
          <w:color w:val="C00000"/>
          <w:sz w:val="30"/>
          <w:szCs w:val="30"/>
        </w:rPr>
      </w:pPr>
      <w:r>
        <w:rPr>
          <w:rFonts w:ascii="Times New Roman" w:hAnsi="Times New Roman"/>
          <w:b/>
          <w:color w:val="C00000"/>
          <w:sz w:val="30"/>
          <w:szCs w:val="30"/>
        </w:rPr>
        <w:t>УВАЖАЕМЫЙ РЕСПОНДЕНТ!</w:t>
      </w:r>
    </w:p>
    <w:p w:rsidR="00681DDB" w:rsidRDefault="00681DDB">
      <w:pPr>
        <w:tabs>
          <w:tab w:val="left" w:pos="15486"/>
        </w:tabs>
        <w:spacing w:after="0" w:line="240" w:lineRule="auto"/>
        <w:ind w:left="510" w:right="425"/>
        <w:jc w:val="both"/>
        <w:outlineLvl w:val="0"/>
        <w:rPr>
          <w:rFonts w:ascii="Times New Roman" w:hAnsi="Times New Roman"/>
          <w:b/>
          <w:color w:val="C00000"/>
          <w:sz w:val="32"/>
          <w:szCs w:val="32"/>
        </w:rPr>
      </w:pPr>
    </w:p>
    <w:p w:rsidR="00681DDB" w:rsidRDefault="00303231">
      <w:pPr>
        <w:tabs>
          <w:tab w:val="left" w:pos="15486"/>
        </w:tabs>
        <w:spacing w:after="0" w:line="360" w:lineRule="auto"/>
        <w:ind w:right="425" w:firstLine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Срок предоставления формы № 7-травматизм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«Сведения о травматизме на производстве и профессиональных заболеваниях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2023 отчетный год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 20 февраля по 1 марта 2024 г. </w:t>
      </w:r>
      <w:r w:rsidR="008A3735">
        <w:rPr>
          <w:rFonts w:ascii="Times New Roman" w:eastAsia="Times New Roman" w:hAnsi="Times New Roman"/>
          <w:sz w:val="24"/>
          <w:szCs w:val="24"/>
          <w:lang w:eastAsia="ru-RU"/>
        </w:rPr>
        <w:t>(приказ Росстата от 31.07.2023 № 361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681DDB" w:rsidRDefault="00303231">
      <w:pPr>
        <w:tabs>
          <w:tab w:val="left" w:pos="15486"/>
        </w:tabs>
        <w:spacing w:after="0" w:line="360" w:lineRule="auto"/>
        <w:ind w:right="425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Подробные указания по заполнению формы размещены на сайте </w:t>
      </w:r>
      <w:hyperlink r:id="rId8" w:history="1">
        <w:r>
          <w:rPr>
            <w:rStyle w:val="af1"/>
            <w:rFonts w:ascii="Times New Roman" w:eastAsia="Times New Roman" w:hAnsi="Times New Roman"/>
            <w:sz w:val="24"/>
            <w:szCs w:val="24"/>
            <w:lang w:eastAsia="ru-RU"/>
          </w:rPr>
          <w:t>https://rosstat.</w:t>
        </w:r>
        <w:bookmarkStart w:id="0" w:name="_Hlt149226669"/>
        <w:r>
          <w:rPr>
            <w:rStyle w:val="af1"/>
            <w:rFonts w:ascii="Times New Roman" w:eastAsia="Times New Roman" w:hAnsi="Times New Roman"/>
            <w:sz w:val="24"/>
            <w:szCs w:val="24"/>
            <w:lang w:eastAsia="ru-RU"/>
          </w:rPr>
          <w:t>g</w:t>
        </w:r>
        <w:bookmarkEnd w:id="0"/>
        <w:r>
          <w:rPr>
            <w:rStyle w:val="af1"/>
            <w:rFonts w:ascii="Times New Roman" w:eastAsia="Times New Roman" w:hAnsi="Times New Roman"/>
            <w:sz w:val="24"/>
            <w:szCs w:val="24"/>
            <w:lang w:eastAsia="ru-RU"/>
          </w:rPr>
          <w:t>ov.ru/monitoring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разделе Респон</w:t>
      </w:r>
      <w:r w:rsidR="00890AF9">
        <w:rPr>
          <w:rFonts w:ascii="Times New Roman" w:eastAsia="Times New Roman" w:hAnsi="Times New Roman"/>
          <w:sz w:val="24"/>
          <w:szCs w:val="24"/>
          <w:lang w:eastAsia="ru-RU"/>
        </w:rPr>
        <w:t>дентам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/Альбом форм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фед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тат.наблюдения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/Поиск по ф.7-травматизм/</w:t>
      </w:r>
      <w:r w:rsidR="008A373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2024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(обязательно выбираем текущий год!)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81DDB" w:rsidRDefault="00303231">
      <w:pPr>
        <w:tabs>
          <w:tab w:val="left" w:pos="15486"/>
        </w:tabs>
        <w:spacing w:after="0" w:line="360" w:lineRule="auto"/>
        <w:ind w:right="-1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Получить индивидуальный перечень форм федерального статистического наблюдения, подлежащих предоставлению хозяйствующим субъектом в органы государственной статистики, можно на сайте Росстата в разделе «Получить данные о кодах и формах» информационно-поисковой системы </w:t>
      </w:r>
      <w:hyperlink r:id="rId9" w:tgtFrame="_blank" w:history="1">
        <w:r>
          <w:rPr>
            <w:rFonts w:ascii="Times New Roman" w:hAnsi="Times New Roman"/>
            <w:sz w:val="24"/>
            <w:szCs w:val="24"/>
          </w:rPr>
          <w:t>http://websbor.gks.ru</w:t>
        </w:r>
      </w:hyperlink>
      <w:r>
        <w:rPr>
          <w:rFonts w:ascii="Times New Roman" w:hAnsi="Times New Roman"/>
          <w:sz w:val="24"/>
          <w:szCs w:val="24"/>
        </w:rPr>
        <w:t>;</w:t>
      </w:r>
      <w:bookmarkStart w:id="1" w:name="_GoBack"/>
      <w:bookmarkEnd w:id="1"/>
    </w:p>
    <w:p w:rsidR="00681DDB" w:rsidRDefault="00303231">
      <w:pPr>
        <w:tabs>
          <w:tab w:val="left" w:pos="15486"/>
        </w:tabs>
        <w:spacing w:after="0" w:line="360" w:lineRule="auto"/>
        <w:ind w:right="-1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Отчет принимается только в электронном виде посредством системы Веб-сбора или </w:t>
      </w:r>
      <w:proofErr w:type="spellStart"/>
      <w:r>
        <w:rPr>
          <w:rFonts w:ascii="Times New Roman" w:hAnsi="Times New Roman"/>
          <w:sz w:val="24"/>
          <w:szCs w:val="24"/>
        </w:rPr>
        <w:t>спецоператоров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связи.</w:t>
      </w:r>
    </w:p>
    <w:p w:rsidR="00681DDB" w:rsidRDefault="00303231">
      <w:pPr>
        <w:tabs>
          <w:tab w:val="left" w:pos="15486"/>
        </w:tabs>
        <w:spacing w:after="0" w:line="360" w:lineRule="auto"/>
        <w:ind w:right="425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</w:p>
    <w:p w:rsidR="00681DDB" w:rsidRDefault="00303231">
      <w:pPr>
        <w:tabs>
          <w:tab w:val="left" w:pos="15486"/>
        </w:tabs>
        <w:spacing w:after="0" w:line="360" w:lineRule="auto"/>
        <w:ind w:right="425" w:firstLine="709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Особенности заполнения формы № 7-травматизм:</w:t>
      </w:r>
    </w:p>
    <w:p w:rsidR="00681DDB" w:rsidRDefault="00303231">
      <w:pPr>
        <w:tabs>
          <w:tab w:val="left" w:pos="15486"/>
        </w:tabs>
        <w:spacing w:after="0" w:line="360" w:lineRule="auto"/>
        <w:ind w:right="425"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 xml:space="preserve">Форму федерального статистического наблюдения № 7-травматизм «Сведения о травматизме на производстве и профессиональных заболеваниях» (далее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" w:hAnsi="Times New Roman"/>
          <w:sz w:val="24"/>
          <w:szCs w:val="24"/>
        </w:rPr>
        <w:t xml:space="preserve"> форма) предоставляют юридические лица (кроме </w:t>
      </w:r>
      <w:proofErr w:type="spellStart"/>
      <w:r>
        <w:rPr>
          <w:rFonts w:ascii="Times New Roman" w:hAnsi="Times New Roman"/>
          <w:sz w:val="24"/>
          <w:szCs w:val="24"/>
        </w:rPr>
        <w:t>микропредприятий</w:t>
      </w:r>
      <w:proofErr w:type="spellEnd"/>
      <w:r>
        <w:rPr>
          <w:rFonts w:ascii="Times New Roman" w:hAnsi="Times New Roman"/>
          <w:sz w:val="24"/>
          <w:szCs w:val="24"/>
        </w:rPr>
        <w:t xml:space="preserve">), осуществляющие все виды экономической деятельности, </w:t>
      </w:r>
      <w:r>
        <w:rPr>
          <w:rFonts w:ascii="Times New Roman" w:hAnsi="Times New Roman"/>
          <w:b/>
          <w:sz w:val="28"/>
          <w:szCs w:val="28"/>
        </w:rPr>
        <w:t>кроме</w:t>
      </w:r>
      <w:r>
        <w:rPr>
          <w:rFonts w:ascii="Times New Roman" w:hAnsi="Times New Roman"/>
          <w:sz w:val="24"/>
          <w:szCs w:val="24"/>
        </w:rPr>
        <w:t>: финансовой и страховой деятельности, деятельности по операциям с недвижимым имуществом, государственного управления и обеспечения военной безопасности, социального обеспечения, образования, деятельности домашних хозяйств как работодателей, недифференцированной деятельности частных домашних хозяйств по производству товаров и оказанию</w:t>
      </w:r>
      <w:proofErr w:type="gramEnd"/>
      <w:r>
        <w:rPr>
          <w:rFonts w:ascii="Times New Roman" w:hAnsi="Times New Roman"/>
          <w:sz w:val="24"/>
          <w:szCs w:val="24"/>
        </w:rPr>
        <w:t xml:space="preserve"> услуг для собственного потребления, деятельности экстерриториальных организаций и органов.</w:t>
      </w:r>
    </w:p>
    <w:p w:rsidR="00681DDB" w:rsidRDefault="00303231">
      <w:pPr>
        <w:tabs>
          <w:tab w:val="left" w:pos="15486"/>
        </w:tabs>
        <w:spacing w:after="0" w:line="360" w:lineRule="auto"/>
        <w:ind w:right="425" w:firstLine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-   Заполненная </w:t>
      </w:r>
      <w:r>
        <w:rPr>
          <w:rFonts w:ascii="Times New Roman" w:hAnsi="Times New Roman"/>
          <w:b/>
          <w:sz w:val="24"/>
          <w:szCs w:val="24"/>
        </w:rPr>
        <w:t>форма предоставляется в территориальные органы Росстата по месту фактического осуществления деятельности юридического лица</w:t>
      </w:r>
      <w:r>
        <w:rPr>
          <w:rFonts w:ascii="Times New Roman" w:hAnsi="Times New Roman"/>
          <w:sz w:val="24"/>
          <w:szCs w:val="24"/>
        </w:rPr>
        <w:t xml:space="preserve"> (обособленного подразделения)</w:t>
      </w:r>
    </w:p>
    <w:p w:rsidR="00681DDB" w:rsidRDefault="00303231">
      <w:pPr>
        <w:spacing w:line="360" w:lineRule="auto"/>
        <w:ind w:right="42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Форму предоставляют юридические лица, средняя численность работников которых равна или </w:t>
      </w:r>
      <w:r>
        <w:rPr>
          <w:rFonts w:ascii="Times New Roman" w:hAnsi="Times New Roman"/>
          <w:b/>
          <w:sz w:val="24"/>
          <w:szCs w:val="24"/>
        </w:rPr>
        <w:t>больше 1 человека!</w:t>
      </w:r>
    </w:p>
    <w:p w:rsidR="00681DDB" w:rsidRDefault="00303231">
      <w:pPr>
        <w:spacing w:line="36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- Если в отчетном году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не велась административно-хозяйственная деятельность или отсутствовали несчастные случаи на производстве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обязательно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заполняются титульный лист и строки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23 – 25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81DDB" w:rsidRDefault="00303231">
      <w:pPr>
        <w:spacing w:line="360" w:lineRule="auto"/>
        <w:ind w:right="42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-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 отсутствии случая производственного травматизма и профессиональных заболеваний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отчетном году организация заполняет титульный лист и строки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17– 25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81DDB" w:rsidRDefault="00303231">
      <w:pPr>
        <w:spacing w:line="360" w:lineRule="auto"/>
        <w:ind w:right="42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- Обращаем Ваше внимание, что при заполнении строк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 17 по 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сумма указывается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тысячах 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81DDB" w:rsidRDefault="00303231">
      <w:pPr>
        <w:spacing w:line="360" w:lineRule="auto"/>
        <w:ind w:right="42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По </w:t>
      </w:r>
      <w:r>
        <w:rPr>
          <w:rFonts w:ascii="Times New Roman" w:hAnsi="Times New Roman"/>
          <w:b/>
          <w:sz w:val="24"/>
          <w:szCs w:val="24"/>
        </w:rPr>
        <w:t>строке 16</w:t>
      </w:r>
      <w:r>
        <w:rPr>
          <w:rFonts w:ascii="Times New Roman" w:hAnsi="Times New Roman"/>
          <w:sz w:val="24"/>
          <w:szCs w:val="24"/>
        </w:rPr>
        <w:t xml:space="preserve"> показывают численность лиц с впервые установленным профессиональным заболеванием в отчетном году, по которым составлены акты о случае профессионального заболевания в соответствии с пост</w:t>
      </w:r>
      <w:r w:rsidR="007D0D99">
        <w:rPr>
          <w:rFonts w:ascii="Times New Roman" w:hAnsi="Times New Roman"/>
          <w:sz w:val="24"/>
          <w:szCs w:val="24"/>
        </w:rPr>
        <w:t xml:space="preserve">ановлением Правительства РФ от </w:t>
      </w:r>
      <w:r>
        <w:rPr>
          <w:rFonts w:ascii="Times New Roman" w:hAnsi="Times New Roman"/>
          <w:sz w:val="24"/>
          <w:szCs w:val="24"/>
        </w:rPr>
        <w:t xml:space="preserve">5 </w:t>
      </w:r>
      <w:r w:rsidR="007D0D99">
        <w:rPr>
          <w:rFonts w:ascii="Times New Roman" w:hAnsi="Times New Roman"/>
          <w:sz w:val="24"/>
          <w:szCs w:val="24"/>
        </w:rPr>
        <w:t>июля 2022</w:t>
      </w:r>
      <w:r>
        <w:rPr>
          <w:rFonts w:ascii="Times New Roman" w:hAnsi="Times New Roman"/>
          <w:sz w:val="24"/>
          <w:szCs w:val="24"/>
        </w:rPr>
        <w:t xml:space="preserve"> г. №</w:t>
      </w:r>
      <w:r w:rsidR="007D0D99">
        <w:rPr>
          <w:rFonts w:ascii="Times New Roman" w:hAnsi="Times New Roman"/>
          <w:sz w:val="24"/>
          <w:szCs w:val="24"/>
        </w:rPr>
        <w:t xml:space="preserve"> 1206</w:t>
      </w:r>
      <w:r>
        <w:rPr>
          <w:rFonts w:ascii="Times New Roman" w:hAnsi="Times New Roman"/>
          <w:sz w:val="24"/>
          <w:szCs w:val="24"/>
        </w:rPr>
        <w:t xml:space="preserve"> « </w:t>
      </w:r>
      <w:r w:rsidR="007D0D99">
        <w:rPr>
          <w:rFonts w:ascii="Times New Roman" w:hAnsi="Times New Roman"/>
          <w:sz w:val="24"/>
          <w:szCs w:val="24"/>
        </w:rPr>
        <w:t>О п</w:t>
      </w:r>
      <w:r>
        <w:rPr>
          <w:rFonts w:ascii="Times New Roman" w:hAnsi="Times New Roman"/>
          <w:sz w:val="24"/>
          <w:szCs w:val="24"/>
        </w:rPr>
        <w:t>о</w:t>
      </w:r>
      <w:r w:rsidR="007D0D99">
        <w:rPr>
          <w:rFonts w:ascii="Times New Roman" w:hAnsi="Times New Roman"/>
          <w:sz w:val="24"/>
          <w:szCs w:val="24"/>
        </w:rPr>
        <w:t>рядке расследования и учета</w:t>
      </w:r>
      <w:r>
        <w:rPr>
          <w:rFonts w:ascii="Times New Roman" w:hAnsi="Times New Roman"/>
          <w:sz w:val="24"/>
          <w:szCs w:val="24"/>
        </w:rPr>
        <w:t xml:space="preserve"> профессиональных заболеваний</w:t>
      </w:r>
      <w:r w:rsidR="007D0D99">
        <w:rPr>
          <w:rFonts w:ascii="Times New Roman" w:hAnsi="Times New Roman"/>
          <w:sz w:val="24"/>
          <w:szCs w:val="24"/>
        </w:rPr>
        <w:t xml:space="preserve"> работников</w:t>
      </w:r>
      <w:r>
        <w:rPr>
          <w:rFonts w:ascii="Times New Roman" w:hAnsi="Times New Roman"/>
          <w:sz w:val="24"/>
          <w:szCs w:val="24"/>
        </w:rPr>
        <w:t>».</w:t>
      </w:r>
    </w:p>
    <w:p w:rsidR="00681DDB" w:rsidRDefault="00681DDB">
      <w:pPr>
        <w:spacing w:line="360" w:lineRule="auto"/>
        <w:ind w:right="425" w:firstLine="709"/>
        <w:jc w:val="both"/>
        <w:rPr>
          <w:rFonts w:ascii="Times New Roman" w:hAnsi="Times New Roman"/>
          <w:sz w:val="24"/>
          <w:szCs w:val="24"/>
        </w:rPr>
      </w:pPr>
    </w:p>
    <w:p w:rsidR="00681DDB" w:rsidRDefault="003032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Контакты специалистов центрального аппарата Мосстата по г. Москве: </w:t>
      </w:r>
    </w:p>
    <w:p w:rsidR="00681DDB" w:rsidRDefault="003032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Еремеева Виктория Владимировна     8 (495) 366-65-31;</w:t>
      </w:r>
    </w:p>
    <w:p w:rsidR="00681DDB" w:rsidRDefault="0030323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Контакты специалистов центрального аппарата Мосстата по Московской области: </w:t>
      </w:r>
    </w:p>
    <w:p w:rsidR="00681DDB" w:rsidRDefault="0030323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Набиева Юлия Сергеевна    8 (495) 779-05-04.</w:t>
      </w:r>
    </w:p>
    <w:p w:rsidR="00681DDB" w:rsidRDefault="00681DDB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681DDB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D26" w:rsidRDefault="00E97D26">
      <w:pPr>
        <w:spacing w:after="0" w:line="240" w:lineRule="auto"/>
      </w:pPr>
      <w:r>
        <w:separator/>
      </w:r>
    </w:p>
  </w:endnote>
  <w:endnote w:type="continuationSeparator" w:id="0">
    <w:p w:rsidR="00E97D26" w:rsidRDefault="00E9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D26" w:rsidRDefault="00E97D26">
      <w:pPr>
        <w:spacing w:after="0" w:line="240" w:lineRule="auto"/>
      </w:pPr>
      <w:r>
        <w:separator/>
      </w:r>
    </w:p>
  </w:footnote>
  <w:footnote w:type="continuationSeparator" w:id="0">
    <w:p w:rsidR="00E97D26" w:rsidRDefault="00E97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1E95"/>
    <w:multiLevelType w:val="hybridMultilevel"/>
    <w:tmpl w:val="FD30B7AC"/>
    <w:lvl w:ilvl="0" w:tplc="BDD0512C">
      <w:start w:val="1"/>
      <w:numFmt w:val="decimal"/>
      <w:lvlText w:val="%1."/>
      <w:lvlJc w:val="left"/>
      <w:pPr>
        <w:ind w:left="1065" w:hanging="360"/>
      </w:pPr>
    </w:lvl>
    <w:lvl w:ilvl="1" w:tplc="9F2E3462">
      <w:start w:val="1"/>
      <w:numFmt w:val="lowerLetter"/>
      <w:lvlText w:val="%2."/>
      <w:lvlJc w:val="left"/>
      <w:pPr>
        <w:ind w:left="1785" w:hanging="360"/>
      </w:pPr>
    </w:lvl>
    <w:lvl w:ilvl="2" w:tplc="DA127038">
      <w:start w:val="1"/>
      <w:numFmt w:val="lowerRoman"/>
      <w:lvlText w:val="%3."/>
      <w:lvlJc w:val="right"/>
      <w:pPr>
        <w:ind w:left="2505" w:hanging="180"/>
      </w:pPr>
    </w:lvl>
    <w:lvl w:ilvl="3" w:tplc="6F14B73E">
      <w:start w:val="1"/>
      <w:numFmt w:val="decimal"/>
      <w:lvlText w:val="%4."/>
      <w:lvlJc w:val="left"/>
      <w:pPr>
        <w:ind w:left="3225" w:hanging="360"/>
      </w:pPr>
    </w:lvl>
    <w:lvl w:ilvl="4" w:tplc="3E161CE0">
      <w:start w:val="1"/>
      <w:numFmt w:val="lowerLetter"/>
      <w:lvlText w:val="%5."/>
      <w:lvlJc w:val="left"/>
      <w:pPr>
        <w:ind w:left="3945" w:hanging="360"/>
      </w:pPr>
    </w:lvl>
    <w:lvl w:ilvl="5" w:tplc="0E926534">
      <w:start w:val="1"/>
      <w:numFmt w:val="lowerRoman"/>
      <w:lvlText w:val="%6."/>
      <w:lvlJc w:val="right"/>
      <w:pPr>
        <w:ind w:left="4665" w:hanging="180"/>
      </w:pPr>
    </w:lvl>
    <w:lvl w:ilvl="6" w:tplc="E00252DA">
      <w:start w:val="1"/>
      <w:numFmt w:val="decimal"/>
      <w:lvlText w:val="%7."/>
      <w:lvlJc w:val="left"/>
      <w:pPr>
        <w:ind w:left="5385" w:hanging="360"/>
      </w:pPr>
    </w:lvl>
    <w:lvl w:ilvl="7" w:tplc="E35277D2">
      <w:start w:val="1"/>
      <w:numFmt w:val="lowerLetter"/>
      <w:lvlText w:val="%8."/>
      <w:lvlJc w:val="left"/>
      <w:pPr>
        <w:ind w:left="6105" w:hanging="360"/>
      </w:pPr>
    </w:lvl>
    <w:lvl w:ilvl="8" w:tplc="3DC89078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C2F66B8"/>
    <w:multiLevelType w:val="hybridMultilevel"/>
    <w:tmpl w:val="EF4A6AF4"/>
    <w:lvl w:ilvl="0" w:tplc="A6DE1CBA">
      <w:start w:val="1"/>
      <w:numFmt w:val="decimal"/>
      <w:lvlText w:val="%1."/>
      <w:lvlJc w:val="left"/>
      <w:pPr>
        <w:ind w:left="1065" w:hanging="360"/>
      </w:pPr>
    </w:lvl>
    <w:lvl w:ilvl="1" w:tplc="7600677E">
      <w:start w:val="1"/>
      <w:numFmt w:val="lowerLetter"/>
      <w:lvlText w:val="%2."/>
      <w:lvlJc w:val="left"/>
      <w:pPr>
        <w:ind w:left="1785" w:hanging="360"/>
      </w:pPr>
    </w:lvl>
    <w:lvl w:ilvl="2" w:tplc="AAC868E6">
      <w:start w:val="1"/>
      <w:numFmt w:val="lowerRoman"/>
      <w:lvlText w:val="%3."/>
      <w:lvlJc w:val="right"/>
      <w:pPr>
        <w:ind w:left="2505" w:hanging="180"/>
      </w:pPr>
    </w:lvl>
    <w:lvl w:ilvl="3" w:tplc="B1323E10">
      <w:start w:val="1"/>
      <w:numFmt w:val="decimal"/>
      <w:lvlText w:val="%4."/>
      <w:lvlJc w:val="left"/>
      <w:pPr>
        <w:ind w:left="3225" w:hanging="360"/>
      </w:pPr>
    </w:lvl>
    <w:lvl w:ilvl="4" w:tplc="43464746">
      <w:start w:val="1"/>
      <w:numFmt w:val="lowerLetter"/>
      <w:lvlText w:val="%5."/>
      <w:lvlJc w:val="left"/>
      <w:pPr>
        <w:ind w:left="3945" w:hanging="360"/>
      </w:pPr>
    </w:lvl>
    <w:lvl w:ilvl="5" w:tplc="CAF6F46A">
      <w:start w:val="1"/>
      <w:numFmt w:val="lowerRoman"/>
      <w:lvlText w:val="%6."/>
      <w:lvlJc w:val="right"/>
      <w:pPr>
        <w:ind w:left="4665" w:hanging="180"/>
      </w:pPr>
    </w:lvl>
    <w:lvl w:ilvl="6" w:tplc="4A24BEDA">
      <w:start w:val="1"/>
      <w:numFmt w:val="decimal"/>
      <w:lvlText w:val="%7."/>
      <w:lvlJc w:val="left"/>
      <w:pPr>
        <w:ind w:left="5385" w:hanging="360"/>
      </w:pPr>
    </w:lvl>
    <w:lvl w:ilvl="7" w:tplc="478C20DC">
      <w:start w:val="1"/>
      <w:numFmt w:val="lowerLetter"/>
      <w:lvlText w:val="%8."/>
      <w:lvlJc w:val="left"/>
      <w:pPr>
        <w:ind w:left="6105" w:hanging="360"/>
      </w:pPr>
    </w:lvl>
    <w:lvl w:ilvl="8" w:tplc="12B88800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7F12177"/>
    <w:multiLevelType w:val="hybridMultilevel"/>
    <w:tmpl w:val="F4A613EA"/>
    <w:lvl w:ilvl="0" w:tplc="7AE41558">
      <w:start w:val="1"/>
      <w:numFmt w:val="decimal"/>
      <w:lvlText w:val="%1."/>
      <w:lvlJc w:val="left"/>
      <w:pPr>
        <w:ind w:left="1065" w:hanging="360"/>
      </w:pPr>
    </w:lvl>
    <w:lvl w:ilvl="1" w:tplc="1F648E92">
      <w:start w:val="1"/>
      <w:numFmt w:val="lowerLetter"/>
      <w:lvlText w:val="%2."/>
      <w:lvlJc w:val="left"/>
      <w:pPr>
        <w:ind w:left="1785" w:hanging="360"/>
      </w:pPr>
    </w:lvl>
    <w:lvl w:ilvl="2" w:tplc="E88017F8">
      <w:start w:val="1"/>
      <w:numFmt w:val="lowerRoman"/>
      <w:lvlText w:val="%3."/>
      <w:lvlJc w:val="right"/>
      <w:pPr>
        <w:ind w:left="2505" w:hanging="180"/>
      </w:pPr>
    </w:lvl>
    <w:lvl w:ilvl="3" w:tplc="E814E6DA">
      <w:start w:val="1"/>
      <w:numFmt w:val="decimal"/>
      <w:lvlText w:val="%4."/>
      <w:lvlJc w:val="left"/>
      <w:pPr>
        <w:ind w:left="3225" w:hanging="360"/>
      </w:pPr>
    </w:lvl>
    <w:lvl w:ilvl="4" w:tplc="DA72EBEC">
      <w:start w:val="1"/>
      <w:numFmt w:val="lowerLetter"/>
      <w:lvlText w:val="%5."/>
      <w:lvlJc w:val="left"/>
      <w:pPr>
        <w:ind w:left="3945" w:hanging="360"/>
      </w:pPr>
    </w:lvl>
    <w:lvl w:ilvl="5" w:tplc="6DDC19DC">
      <w:start w:val="1"/>
      <w:numFmt w:val="lowerRoman"/>
      <w:lvlText w:val="%6."/>
      <w:lvlJc w:val="right"/>
      <w:pPr>
        <w:ind w:left="4665" w:hanging="180"/>
      </w:pPr>
    </w:lvl>
    <w:lvl w:ilvl="6" w:tplc="8FD8E046">
      <w:start w:val="1"/>
      <w:numFmt w:val="decimal"/>
      <w:lvlText w:val="%7."/>
      <w:lvlJc w:val="left"/>
      <w:pPr>
        <w:ind w:left="5385" w:hanging="360"/>
      </w:pPr>
    </w:lvl>
    <w:lvl w:ilvl="7" w:tplc="88F0D06C">
      <w:start w:val="1"/>
      <w:numFmt w:val="lowerLetter"/>
      <w:lvlText w:val="%8."/>
      <w:lvlJc w:val="left"/>
      <w:pPr>
        <w:ind w:left="6105" w:hanging="360"/>
      </w:pPr>
    </w:lvl>
    <w:lvl w:ilvl="8" w:tplc="60BC735C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21B65C8"/>
    <w:multiLevelType w:val="hybridMultilevel"/>
    <w:tmpl w:val="05A6F78A"/>
    <w:lvl w:ilvl="0" w:tplc="19C63E10">
      <w:start w:val="1"/>
      <w:numFmt w:val="decimal"/>
      <w:lvlText w:val="%1."/>
      <w:lvlJc w:val="left"/>
      <w:pPr>
        <w:ind w:left="1065" w:hanging="360"/>
      </w:pPr>
    </w:lvl>
    <w:lvl w:ilvl="1" w:tplc="5AF4CB9C">
      <w:start w:val="1"/>
      <w:numFmt w:val="lowerLetter"/>
      <w:lvlText w:val="%2."/>
      <w:lvlJc w:val="left"/>
      <w:pPr>
        <w:ind w:left="1785" w:hanging="360"/>
      </w:pPr>
    </w:lvl>
    <w:lvl w:ilvl="2" w:tplc="BFC8D2A4">
      <w:start w:val="1"/>
      <w:numFmt w:val="lowerRoman"/>
      <w:lvlText w:val="%3."/>
      <w:lvlJc w:val="right"/>
      <w:pPr>
        <w:ind w:left="2505" w:hanging="180"/>
      </w:pPr>
    </w:lvl>
    <w:lvl w:ilvl="3" w:tplc="603AED82">
      <w:start w:val="1"/>
      <w:numFmt w:val="decimal"/>
      <w:lvlText w:val="%4."/>
      <w:lvlJc w:val="left"/>
      <w:pPr>
        <w:ind w:left="3225" w:hanging="360"/>
      </w:pPr>
    </w:lvl>
    <w:lvl w:ilvl="4" w:tplc="1CAA2C88">
      <w:start w:val="1"/>
      <w:numFmt w:val="lowerLetter"/>
      <w:lvlText w:val="%5."/>
      <w:lvlJc w:val="left"/>
      <w:pPr>
        <w:ind w:left="3945" w:hanging="360"/>
      </w:pPr>
    </w:lvl>
    <w:lvl w:ilvl="5" w:tplc="D932CFA6">
      <w:start w:val="1"/>
      <w:numFmt w:val="lowerRoman"/>
      <w:lvlText w:val="%6."/>
      <w:lvlJc w:val="right"/>
      <w:pPr>
        <w:ind w:left="4665" w:hanging="180"/>
      </w:pPr>
    </w:lvl>
    <w:lvl w:ilvl="6" w:tplc="AB50ABD4">
      <w:start w:val="1"/>
      <w:numFmt w:val="decimal"/>
      <w:lvlText w:val="%7."/>
      <w:lvlJc w:val="left"/>
      <w:pPr>
        <w:ind w:left="5385" w:hanging="360"/>
      </w:pPr>
    </w:lvl>
    <w:lvl w:ilvl="7" w:tplc="7410F6DA">
      <w:start w:val="1"/>
      <w:numFmt w:val="lowerLetter"/>
      <w:lvlText w:val="%8."/>
      <w:lvlJc w:val="left"/>
      <w:pPr>
        <w:ind w:left="6105" w:hanging="360"/>
      </w:pPr>
    </w:lvl>
    <w:lvl w:ilvl="8" w:tplc="B1D2453A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053669B"/>
    <w:multiLevelType w:val="hybridMultilevel"/>
    <w:tmpl w:val="3A540352"/>
    <w:lvl w:ilvl="0" w:tplc="E44002E6">
      <w:start w:val="1"/>
      <w:numFmt w:val="decimal"/>
      <w:lvlText w:val="%1."/>
      <w:lvlJc w:val="left"/>
      <w:pPr>
        <w:ind w:left="1065" w:hanging="360"/>
      </w:pPr>
    </w:lvl>
    <w:lvl w:ilvl="1" w:tplc="A9D85ABA">
      <w:start w:val="1"/>
      <w:numFmt w:val="lowerLetter"/>
      <w:lvlText w:val="%2."/>
      <w:lvlJc w:val="left"/>
      <w:pPr>
        <w:ind w:left="1785" w:hanging="360"/>
      </w:pPr>
    </w:lvl>
    <w:lvl w:ilvl="2" w:tplc="F1783A8E">
      <w:start w:val="1"/>
      <w:numFmt w:val="lowerRoman"/>
      <w:lvlText w:val="%3."/>
      <w:lvlJc w:val="right"/>
      <w:pPr>
        <w:ind w:left="2505" w:hanging="180"/>
      </w:pPr>
    </w:lvl>
    <w:lvl w:ilvl="3" w:tplc="E61C5558">
      <w:start w:val="1"/>
      <w:numFmt w:val="decimal"/>
      <w:lvlText w:val="%4."/>
      <w:lvlJc w:val="left"/>
      <w:pPr>
        <w:ind w:left="3225" w:hanging="360"/>
      </w:pPr>
    </w:lvl>
    <w:lvl w:ilvl="4" w:tplc="6E809168">
      <w:start w:val="1"/>
      <w:numFmt w:val="lowerLetter"/>
      <w:lvlText w:val="%5."/>
      <w:lvlJc w:val="left"/>
      <w:pPr>
        <w:ind w:left="3945" w:hanging="360"/>
      </w:pPr>
    </w:lvl>
    <w:lvl w:ilvl="5" w:tplc="B4D6215E">
      <w:start w:val="1"/>
      <w:numFmt w:val="lowerRoman"/>
      <w:lvlText w:val="%6."/>
      <w:lvlJc w:val="right"/>
      <w:pPr>
        <w:ind w:left="4665" w:hanging="180"/>
      </w:pPr>
    </w:lvl>
    <w:lvl w:ilvl="6" w:tplc="90AC84DC">
      <w:start w:val="1"/>
      <w:numFmt w:val="decimal"/>
      <w:lvlText w:val="%7."/>
      <w:lvlJc w:val="left"/>
      <w:pPr>
        <w:ind w:left="5385" w:hanging="360"/>
      </w:pPr>
    </w:lvl>
    <w:lvl w:ilvl="7" w:tplc="8594E708">
      <w:start w:val="1"/>
      <w:numFmt w:val="lowerLetter"/>
      <w:lvlText w:val="%8."/>
      <w:lvlJc w:val="left"/>
      <w:pPr>
        <w:ind w:left="6105" w:hanging="360"/>
      </w:pPr>
    </w:lvl>
    <w:lvl w:ilvl="8" w:tplc="E3EC61DE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2B83E28"/>
    <w:multiLevelType w:val="hybridMultilevel"/>
    <w:tmpl w:val="7A4A0182"/>
    <w:lvl w:ilvl="0" w:tplc="133C48F8">
      <w:start w:val="1"/>
      <w:numFmt w:val="decimal"/>
      <w:lvlText w:val="%1."/>
      <w:lvlJc w:val="left"/>
      <w:pPr>
        <w:ind w:left="1065" w:hanging="360"/>
      </w:pPr>
    </w:lvl>
    <w:lvl w:ilvl="1" w:tplc="A6FC9F8A">
      <w:start w:val="1"/>
      <w:numFmt w:val="lowerLetter"/>
      <w:lvlText w:val="%2."/>
      <w:lvlJc w:val="left"/>
      <w:pPr>
        <w:ind w:left="1785" w:hanging="360"/>
      </w:pPr>
    </w:lvl>
    <w:lvl w:ilvl="2" w:tplc="0B04D6DA">
      <w:start w:val="1"/>
      <w:numFmt w:val="lowerRoman"/>
      <w:lvlText w:val="%3."/>
      <w:lvlJc w:val="right"/>
      <w:pPr>
        <w:ind w:left="2505" w:hanging="180"/>
      </w:pPr>
    </w:lvl>
    <w:lvl w:ilvl="3" w:tplc="1D081A76">
      <w:start w:val="1"/>
      <w:numFmt w:val="decimal"/>
      <w:lvlText w:val="%4."/>
      <w:lvlJc w:val="left"/>
      <w:pPr>
        <w:ind w:left="3225" w:hanging="360"/>
      </w:pPr>
    </w:lvl>
    <w:lvl w:ilvl="4" w:tplc="9CB68F06">
      <w:start w:val="1"/>
      <w:numFmt w:val="lowerLetter"/>
      <w:lvlText w:val="%5."/>
      <w:lvlJc w:val="left"/>
      <w:pPr>
        <w:ind w:left="3945" w:hanging="360"/>
      </w:pPr>
    </w:lvl>
    <w:lvl w:ilvl="5" w:tplc="7FAA1CB0">
      <w:start w:val="1"/>
      <w:numFmt w:val="lowerRoman"/>
      <w:lvlText w:val="%6."/>
      <w:lvlJc w:val="right"/>
      <w:pPr>
        <w:ind w:left="4665" w:hanging="180"/>
      </w:pPr>
    </w:lvl>
    <w:lvl w:ilvl="6" w:tplc="DF86B108">
      <w:start w:val="1"/>
      <w:numFmt w:val="decimal"/>
      <w:lvlText w:val="%7."/>
      <w:lvlJc w:val="left"/>
      <w:pPr>
        <w:ind w:left="5385" w:hanging="360"/>
      </w:pPr>
    </w:lvl>
    <w:lvl w:ilvl="7" w:tplc="0A4EA8D4">
      <w:start w:val="1"/>
      <w:numFmt w:val="lowerLetter"/>
      <w:lvlText w:val="%8."/>
      <w:lvlJc w:val="left"/>
      <w:pPr>
        <w:ind w:left="6105" w:hanging="360"/>
      </w:pPr>
    </w:lvl>
    <w:lvl w:ilvl="8" w:tplc="814A5D9C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DB"/>
    <w:rsid w:val="00303231"/>
    <w:rsid w:val="00681DDB"/>
    <w:rsid w:val="007D0D99"/>
    <w:rsid w:val="00890AF9"/>
    <w:rsid w:val="008A3735"/>
    <w:rsid w:val="009A7083"/>
    <w:rsid w:val="00E9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uiPriority w:val="59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ac">
    <w:name w:val="Верхний колонтитул Знак"/>
    <w:link w:val="ab"/>
    <w:uiPriority w:val="99"/>
    <w:rPr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Pr>
      <w:sz w:val="22"/>
      <w:szCs w:val="22"/>
      <w:lang w:eastAsia="en-US"/>
    </w:rPr>
  </w:style>
  <w:style w:type="character" w:styleId="afc">
    <w:name w:val="FollowedHyperlink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uiPriority w:val="59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ac">
    <w:name w:val="Верхний колонтитул Знак"/>
    <w:link w:val="ab"/>
    <w:uiPriority w:val="99"/>
    <w:rPr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Pr>
      <w:sz w:val="22"/>
      <w:szCs w:val="22"/>
      <w:lang w:eastAsia="en-US"/>
    </w:rPr>
  </w:style>
  <w:style w:type="character" w:styleId="afc">
    <w:name w:val="FollowedHyperlink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monitori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ebsbor.gks.ru/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Чикалова Елена Геннадьевна</dc:creator>
  <cp:lastModifiedBy>Набиева Юлия Сергеевна</cp:lastModifiedBy>
  <cp:revision>4</cp:revision>
  <dcterms:created xsi:type="dcterms:W3CDTF">2024-01-25T08:55:00Z</dcterms:created>
  <dcterms:modified xsi:type="dcterms:W3CDTF">2024-01-25T11:21:00Z</dcterms:modified>
  <cp:version>917504</cp:version>
</cp:coreProperties>
</file>